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317" w:rsidRDefault="00734317" w:rsidP="00540B3E">
      <w:pPr>
        <w:widowControl/>
        <w:spacing w:line="240" w:lineRule="auto"/>
        <w:ind w:firstLine="0"/>
        <w:outlineLvl w:val="4"/>
        <w:rPr>
          <w:rFonts w:ascii="Verdana" w:hAnsi="Verdana"/>
          <w:color w:val="000000"/>
          <w:sz w:val="25"/>
          <w:szCs w:val="25"/>
        </w:rPr>
      </w:pPr>
      <w:bookmarkStart w:id="0" w:name="_GoBack"/>
      <w:r>
        <w:rPr>
          <w:rFonts w:ascii="Verdana" w:hAnsi="Verdana"/>
          <w:color w:val="000000"/>
          <w:sz w:val="25"/>
          <w:szCs w:val="25"/>
        </w:rPr>
        <w:t>Real Decreto 1074/2017, de 29 de diciembre, por el que se modifican el Reglamento del Impuesto sobre la Renta de las Personas Físicas, aprobado por el Real Decreto 439/2007, de 30 de marzo, el Reglamento del Impuesto sobre Sociedades, aprobado por el Real Decreto 634/2015, de 10 de julio, y el Reglamento del Impuesto sobre Sucesiones y Donaciones, aprobado por el Real Decreto 1629/1991, de 8 de noviembre.</w:t>
      </w:r>
      <w:bookmarkEnd w:id="0"/>
    </w:p>
    <w:p w:rsidR="00734317" w:rsidRDefault="00734317" w:rsidP="00540B3E">
      <w:pPr>
        <w:widowControl/>
        <w:spacing w:line="240" w:lineRule="auto"/>
        <w:ind w:firstLine="0"/>
        <w:jc w:val="center"/>
        <w:outlineLvl w:val="4"/>
        <w:rPr>
          <w:rFonts w:ascii="Verdana" w:hAnsi="Verdana"/>
          <w:color w:val="000000"/>
          <w:sz w:val="25"/>
          <w:szCs w:val="25"/>
        </w:rPr>
      </w:pPr>
    </w:p>
    <w:p w:rsidR="00734317" w:rsidRPr="00734317" w:rsidRDefault="00734317" w:rsidP="00540B3E">
      <w:pPr>
        <w:widowControl/>
        <w:spacing w:line="240" w:lineRule="auto"/>
        <w:ind w:firstLine="0"/>
        <w:rPr>
          <w:rFonts w:ascii="Verdana" w:hAnsi="Verdana"/>
          <w:b/>
          <w:bCs/>
          <w:color w:val="333333"/>
          <w:sz w:val="19"/>
          <w:szCs w:val="19"/>
        </w:rPr>
      </w:pPr>
      <w:r w:rsidRPr="00734317">
        <w:rPr>
          <w:rFonts w:ascii="Verdana" w:hAnsi="Verdana"/>
          <w:b/>
          <w:bCs/>
          <w:color w:val="333333"/>
          <w:sz w:val="19"/>
          <w:szCs w:val="19"/>
        </w:rPr>
        <w:t>Artículo primero. Modificación del Reglamento del Impuesto sobre la Renta de las Personas Físicas, aprobado por el Real Decreto 439/2007, de 30 de marzo.</w:t>
      </w: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Se introducen las siguientes modificaciones en el Reglamento del Impuesto sobre la Renta de las Personas Físicas, aprobado por el Real Decreto 439/2007, de 30 de marzo:</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 xml:space="preserve">Uno. </w:t>
      </w:r>
      <w:r w:rsidR="00540B3E">
        <w:rPr>
          <w:rFonts w:ascii="Verdana" w:hAnsi="Verdana"/>
          <w:color w:val="333333"/>
          <w:sz w:val="19"/>
          <w:szCs w:val="19"/>
        </w:rPr>
        <w:t>…</w:t>
      </w:r>
    </w:p>
    <w:p w:rsidR="00734317" w:rsidRPr="00734317" w:rsidRDefault="00540B3E" w:rsidP="00540B3E">
      <w:pPr>
        <w:widowControl/>
        <w:spacing w:line="240" w:lineRule="auto"/>
        <w:ind w:left="960" w:firstLine="360"/>
        <w:rPr>
          <w:rFonts w:ascii="Verdana" w:hAnsi="Verdana"/>
          <w:color w:val="333333"/>
          <w:sz w:val="19"/>
          <w:szCs w:val="19"/>
        </w:rPr>
      </w:pPr>
      <w:r>
        <w:rPr>
          <w:rFonts w:ascii="Verdana" w:hAnsi="Verdana"/>
          <w:color w:val="333333"/>
          <w:sz w:val="19"/>
          <w:szCs w:val="19"/>
        </w:rPr>
        <w:t>…</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Dos. Se modifica el artículo 44, que queda redactado de la siguiente forma:</w:t>
      </w:r>
    </w:p>
    <w:p w:rsidR="00540B3E" w:rsidRDefault="00734317" w:rsidP="00540B3E">
      <w:pPr>
        <w:widowControl/>
        <w:spacing w:line="240" w:lineRule="auto"/>
        <w:ind w:left="960" w:firstLine="0"/>
        <w:rPr>
          <w:rFonts w:ascii="Verdana" w:hAnsi="Verdana"/>
          <w:b/>
          <w:bCs/>
          <w:color w:val="333333"/>
          <w:sz w:val="19"/>
          <w:szCs w:val="19"/>
        </w:rPr>
      </w:pPr>
      <w:r w:rsidRPr="00734317">
        <w:rPr>
          <w:rFonts w:ascii="Verdana" w:hAnsi="Verdana"/>
          <w:b/>
          <w:bCs/>
          <w:color w:val="333333"/>
          <w:sz w:val="19"/>
          <w:szCs w:val="19"/>
        </w:rPr>
        <w:t>«</w:t>
      </w:r>
    </w:p>
    <w:p w:rsidR="00734317" w:rsidRPr="00734317" w:rsidRDefault="00734317" w:rsidP="00540B3E">
      <w:pPr>
        <w:widowControl/>
        <w:spacing w:line="240" w:lineRule="auto"/>
        <w:ind w:left="960" w:firstLine="0"/>
        <w:rPr>
          <w:rFonts w:ascii="Verdana" w:hAnsi="Verdana"/>
          <w:b/>
          <w:bCs/>
          <w:color w:val="333333"/>
          <w:sz w:val="19"/>
          <w:szCs w:val="19"/>
        </w:rPr>
      </w:pPr>
      <w:r w:rsidRPr="00734317">
        <w:rPr>
          <w:rFonts w:ascii="Verdana" w:hAnsi="Verdana"/>
          <w:b/>
          <w:bCs/>
          <w:color w:val="333333"/>
          <w:sz w:val="19"/>
          <w:szCs w:val="19"/>
        </w:rPr>
        <w:t>Artículo 44. Gastos de estudio para la capacitación o reciclaje del personal que no constituyen retribución en especie.</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No tendrán la consideración de retribuciones en especie, a efectos de lo previsto en el artículo 42.2.a) de la Ley del Impuesto, los estudios dispuestos por instituciones, empresas o empleadores y financiados directa o indirectamente por ellos para la actualización, capacitación o reciclaje de su personal, cuando vengan exigidos por el desarrollo de sus actividades o las características de los puestos de trabajo, incluso cuando su prestación efectiva se efectúe por otras personas o entidades especializadas. En estos casos, los gastos de locomoción, manutención y estancia se regirán por lo previsto en el artículo 9 de este Reglamento.</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A efectos de lo dispuesto en el párrafo anterior, se entenderá que los estudios han sido dispuestos y financiados indirectamente por el empleador cuando se financien por otras empresas o entidades que comercialicen productos para los que resulte necesario disponer de una adecuada formación por parte del trabajador, siempre que el empleador autorice tal participación».</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 xml:space="preserve">Tres. </w:t>
      </w:r>
      <w:r w:rsidR="00540B3E">
        <w:rPr>
          <w:rFonts w:ascii="Verdana" w:hAnsi="Verdana"/>
          <w:color w:val="333333"/>
          <w:sz w:val="19"/>
          <w:szCs w:val="19"/>
        </w:rPr>
        <w:t>…</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Cuatro. Se modifica el artículo 46, que queda redactado de la siguiente forma:</w:t>
      </w:r>
    </w:p>
    <w:p w:rsidR="00540B3E" w:rsidRDefault="00540B3E" w:rsidP="00540B3E">
      <w:pPr>
        <w:widowControl/>
        <w:spacing w:line="240" w:lineRule="auto"/>
        <w:ind w:left="960" w:firstLine="0"/>
        <w:rPr>
          <w:rFonts w:ascii="Verdana" w:hAnsi="Verdana"/>
          <w:b/>
          <w:bCs/>
          <w:color w:val="333333"/>
          <w:sz w:val="19"/>
          <w:szCs w:val="19"/>
        </w:rPr>
      </w:pPr>
    </w:p>
    <w:p w:rsidR="00734317" w:rsidRPr="00734317" w:rsidRDefault="00734317" w:rsidP="00540B3E">
      <w:pPr>
        <w:widowControl/>
        <w:spacing w:line="240" w:lineRule="auto"/>
        <w:ind w:left="960" w:firstLine="0"/>
        <w:rPr>
          <w:rFonts w:ascii="Verdana" w:hAnsi="Verdana"/>
          <w:b/>
          <w:bCs/>
          <w:color w:val="333333"/>
          <w:sz w:val="19"/>
          <w:szCs w:val="19"/>
        </w:rPr>
      </w:pPr>
      <w:r w:rsidRPr="00734317">
        <w:rPr>
          <w:rFonts w:ascii="Verdana" w:hAnsi="Verdana"/>
          <w:b/>
          <w:bCs/>
          <w:color w:val="333333"/>
          <w:sz w:val="19"/>
          <w:szCs w:val="19"/>
        </w:rPr>
        <w:t>«Artículo 46. Rendimientos del trabajo exentos por gastos por seguros de enfermedad.</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Estarán exentos los rendimientos del trabajo en especie, de acuerdo con lo previsto en el artículo 42.3.c) de la Ley del Impuesto, correspondientes a las primas o cuotas satisfechas por las empresas a entidades aseguradoras para la cobertura de enfermedad, cuando se cumplan los siguientes requisitos y límites:</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1. Que la cobertura de enfermedad alcance al propio trabajador, pudiendo además alcanzar a su cónyuge y descendientes.</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2. Que las primas o cuotas satisfechas no excedan de 500 euros anuales por cada una de las personas señaladas en el apartado anterior o de 1.500 euros para cada una de ellas con discapacidad. El exceso sobre dichas cuantías constituirá retribución en especie».</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Cinco. Se añade un apartado 2 al artículo 53, la vigente redacción pasa a numerarse como apartado 1, que queda redactado de la siguiente forma:</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 xml:space="preserve">«2. A efectos de lo dispuesto en el artículo 58 de la Ley del Impuesto se asimilarán a los descendientes aquellas personas vinculadas al contribuyente por razón de tutela y acogimiento en los términos previstos en la legislación </w:t>
      </w:r>
      <w:r w:rsidRPr="00734317">
        <w:rPr>
          <w:rFonts w:ascii="Verdana" w:hAnsi="Verdana"/>
          <w:color w:val="333333"/>
          <w:sz w:val="19"/>
          <w:szCs w:val="19"/>
        </w:rPr>
        <w:lastRenderedPageBreak/>
        <w:t>civil o, fuera de los casos anteriores, a quienes tengan atribuida por resolución judicial su guarda y custodia».</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Seis. Se añade un artículo 67 bis, que queda redactado de la siguiente forma:</w:t>
      </w:r>
    </w:p>
    <w:p w:rsidR="00540B3E" w:rsidRDefault="00540B3E" w:rsidP="00540B3E">
      <w:pPr>
        <w:widowControl/>
        <w:spacing w:line="240" w:lineRule="auto"/>
        <w:ind w:left="960" w:firstLine="0"/>
        <w:rPr>
          <w:rFonts w:ascii="Verdana" w:hAnsi="Verdana"/>
          <w:b/>
          <w:bCs/>
          <w:color w:val="333333"/>
          <w:sz w:val="19"/>
          <w:szCs w:val="19"/>
        </w:rPr>
      </w:pPr>
    </w:p>
    <w:p w:rsidR="00734317" w:rsidRPr="00734317" w:rsidRDefault="00734317" w:rsidP="00540B3E">
      <w:pPr>
        <w:widowControl/>
        <w:spacing w:line="240" w:lineRule="auto"/>
        <w:ind w:left="960" w:firstLine="0"/>
        <w:rPr>
          <w:rFonts w:ascii="Verdana" w:hAnsi="Verdana"/>
          <w:b/>
          <w:bCs/>
          <w:color w:val="333333"/>
          <w:sz w:val="19"/>
          <w:szCs w:val="19"/>
        </w:rPr>
      </w:pPr>
      <w:r w:rsidRPr="00734317">
        <w:rPr>
          <w:rFonts w:ascii="Verdana" w:hAnsi="Verdana"/>
          <w:b/>
          <w:bCs/>
          <w:color w:val="333333"/>
          <w:sz w:val="19"/>
          <w:szCs w:val="19"/>
        </w:rPr>
        <w:t>«Artículo 67 bis. Rectificación de autoliquidaciones.</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Los contribuyentes podrán solicitar la rectificación de las autoliquidaciones presentadas por este Impuesto utilizando, de forma voluntaria, el modelo de declaración aprobado por el Ministro de Hacienda y Función Pública.</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El procedimiento así iniciado se regirá por lo dispuesto en los artículos 120.3 de la Ley 58/2003, de 17 de diciembre, General Tributaria, y 126 a 128 del Reglamento General de las actuaciones y los procedimientos de gestión e inspección tributaria y de desarrollo de las normas comunes de los procedimientos de aplicación de los tributos, aprobado por Real Decreto 1065/2007, de 27 de julio, con las siguientes especialidades para el caso de que la Administración tributaria, habiendo limitado sus actuaciones a contrastar la documentación presentada por el interesado con los datos y antecedentes que obren en poder de aquella, acuerde rectificar la autoliquidación en los términos solicitados por el contribuyente:</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a) El acuerdo de la Administración no impedirá la posterior comprobación del objeto del procedimiento.</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b) Si el acuerdo diese lugar exclusivamente a una devolución derivada de la normativa del tributo y no procediese el abono de intereses de demora, se entenderá notificado dicho acuerdo por la recepción de la transferencia bancaria, sin necesidad de que la Administración tributaria efectúe una liquidación provisional».</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 xml:space="preserve">Siete. </w:t>
      </w:r>
      <w:r w:rsidR="00540B3E">
        <w:rPr>
          <w:rFonts w:ascii="Verdana" w:hAnsi="Verdana"/>
          <w:color w:val="333333"/>
          <w:sz w:val="19"/>
          <w:szCs w:val="19"/>
        </w:rPr>
        <w:t>…</w:t>
      </w:r>
    </w:p>
    <w:p w:rsidR="00734317" w:rsidRPr="00734317" w:rsidRDefault="00540B3E" w:rsidP="00540B3E">
      <w:pPr>
        <w:widowControl/>
        <w:spacing w:line="240" w:lineRule="auto"/>
        <w:ind w:left="960" w:firstLine="360"/>
        <w:rPr>
          <w:rFonts w:ascii="Verdana" w:hAnsi="Verdana"/>
          <w:color w:val="333333"/>
          <w:sz w:val="19"/>
          <w:szCs w:val="19"/>
        </w:rPr>
      </w:pPr>
      <w:r>
        <w:rPr>
          <w:rFonts w:ascii="Verdana" w:hAnsi="Verdana"/>
          <w:color w:val="333333"/>
          <w:sz w:val="19"/>
          <w:szCs w:val="19"/>
        </w:rPr>
        <w:t>…</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Ocho. Se modifica la letra d) del apartado 1 del artículo 75, que queda redactada de la siguiente forma:</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«d) Las siguientes ganancias patrimoniales:</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Las obtenidas como consecuencia de las transmisiones o reembolsos de acciones y participaciones representativas del capital o patrimonio de las instituciones de inversión colectiva.</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Las derivadas de los aprovechamientos forestales de los vecinos en montes públicos.</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Las derivadas de la transmisión de los derechos de suscripción previstas en las letras a) y b) del apartado 1 del artículo 37 de la Ley del Impuesto».</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Nueve. Se modifican las letras e) y f) del apartado 2 del artículo 76 y se añade una letra i), que quedan redactadas de la siguiente forma:</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«e) En las operaciones realizadas en España por entidades aseguradoras domiciliadas en otro Estado miembro del Espacio Económico Europeo que operen en España en régimen de libre prestación de servicios, estará obligada a practicar retención o ingreso a cuenta la entidad aseguradora.</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f) En las operaciones realizadas en España por fondos de pensiones domiciliados en otro Estado miembro de la Unión Europea que desarrollen planes de pensiones de empleo sujetos a la legislación española, conforme a lo previsto en la Directiva 2003/41/CE del Parlamento Europeo y del Consejo, de 3 de junio de 2003, relativa a las actividades y la supervisión de fondos de pensiones de empleo, estará obligado a practicar retención o ingreso a cuenta el fondo de pensiones o, en su caso, la entidad gestora».</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w:t>
      </w:r>
      <w:proofErr w:type="gramStart"/>
      <w:r w:rsidRPr="00734317">
        <w:rPr>
          <w:rFonts w:ascii="Verdana" w:hAnsi="Verdana"/>
          <w:color w:val="333333"/>
          <w:sz w:val="19"/>
          <w:szCs w:val="19"/>
        </w:rPr>
        <w:t>i</w:t>
      </w:r>
      <w:proofErr w:type="gramEnd"/>
      <w:r w:rsidRPr="00734317">
        <w:rPr>
          <w:rFonts w:ascii="Verdana" w:hAnsi="Verdana"/>
          <w:color w:val="333333"/>
          <w:sz w:val="19"/>
          <w:szCs w:val="19"/>
        </w:rPr>
        <w:t>) En las transmisiones de derechos de suscripción, estarán obligados a retener o ingresar a cuenta por este Impuesto, la entidad depositaria y, en su defecto, el intermediario financiero o el fedatario público que haya intervenido en la transmisión».</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lastRenderedPageBreak/>
        <w:t>Diez. Se añade un apartado 3 al artículo 78, que queda redactado de la siguiente forma:</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«3. En el caso de ganancias patrimoniales derivadas de la transmisión de derechos de suscripción, la obligación de practicar retención o ingreso a cuenta nacerá en el momento en que se formalice la transmisión, cualesquiera que sean las condiciones de cobro pactadas.</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Cuando la mencionada obligación recaiga en la entidad depositaria, ésta practicará la retención o ingreso a cuenta en la fecha en que reciba el importe de la transmisión para su entrega al contribuyente».</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Once. Se añade un apartado 3 al artículo 99, que queda redactado de la siguiente forma:</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«3. La retención a practicar sobre las ganancias patrimoniales derivadas de la transmisión de derechos de suscripción será el 19 por ciento sobre el importe obtenido en la operación o, en el caso de que el obligado a practicarla sea la entidad depositaria, sobre el importe recibido por ésta para su entrega al contribuyente».</w:t>
      </w:r>
    </w:p>
    <w:p w:rsidR="00540B3E" w:rsidRDefault="00540B3E" w:rsidP="00540B3E">
      <w:pPr>
        <w:widowControl/>
        <w:spacing w:line="240" w:lineRule="auto"/>
        <w:ind w:firstLine="0"/>
        <w:rPr>
          <w:rFonts w:ascii="Verdana" w:hAnsi="Verdana"/>
          <w:b/>
          <w:bCs/>
          <w:color w:val="333333"/>
          <w:sz w:val="19"/>
          <w:szCs w:val="19"/>
        </w:rPr>
      </w:pPr>
    </w:p>
    <w:p w:rsidR="00734317" w:rsidRPr="00734317" w:rsidRDefault="00734317" w:rsidP="00540B3E">
      <w:pPr>
        <w:widowControl/>
        <w:spacing w:line="240" w:lineRule="auto"/>
        <w:ind w:firstLine="0"/>
        <w:rPr>
          <w:rFonts w:ascii="Verdana" w:hAnsi="Verdana"/>
          <w:b/>
          <w:bCs/>
          <w:color w:val="333333"/>
          <w:sz w:val="19"/>
          <w:szCs w:val="19"/>
        </w:rPr>
      </w:pPr>
      <w:r w:rsidRPr="00734317">
        <w:rPr>
          <w:rFonts w:ascii="Verdana" w:hAnsi="Verdana"/>
          <w:b/>
          <w:bCs/>
          <w:color w:val="333333"/>
          <w:sz w:val="19"/>
          <w:szCs w:val="19"/>
        </w:rPr>
        <w:t>Artículo segundo. Modificación del Reglamento del Impuesto sobre Sociedades, aprobado por el Real Decreto 634/2015, de 10 de julio.</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Se introducen las siguientes modificaciones en el Reglamento del Impuesto sobre Sociedades, aprobado por el Real Decreto 634/2015, de 10 de julio:</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Uno. Se modifica el apartado 1 del artículo 13, que queda redactado de la siguiente forma:</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«1. Las entidades residentes en territorio español que tengan la condición de dominantes de un grupo, definido en los términos establecidos en el artículo 18.2 de la Ley del Impuesto, y no sean al mismo tiempo dependientes de otra entidad, residente o no residente, deberán aportar la información país por país a que se refiere el artículo 14 de este Reglamento.</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Asimismo, deberán aportar esta información aquellas entidades residentes en territorio español dependientes, directa o indirectamente, de una entidad no residente en territorio español que no sea al mismo tiempo dependiente de otra así como los establecimientos permanentes en territorio español de entidades no residentes del grupo, siempre que se produzca alguna de las siguientes circunstancias:</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a) Que no exista una obligación de información país por país en términos análogos a la prevista en este apartado respecto de la referida entidad no residente en su país o territorio de residencia fiscal.</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b) Que no exista un acuerdo de intercambio automático de información, respecto de dicha información, con el país o territorio en el que resida fiscalmente la referida entidad no residente.</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c) Que, existiendo un acuerdo de intercambio automático de información respecto de dicha información con el país o territorio en el que reside fiscalmente la referida entidad no residente, se haya producido un incumplimiento sistemático del mismo que haya sido comunicado por la Administración tributaria española a las entidades dependientes o a los establecimientos permanentes residentes en territorio español en el plazo previsto en el presente apartado.</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 xml:space="preserve">No obstante lo anterior, no existirá la obligación de aportar la información por las señaladas entidades dependientes o establecimientos permanentes en territorio español cuando el grupo multinacional haya designado para que presente la referida información a una entidad dependiente constitutiva del grupo que sea residente en un Estado miembro de la Unión Europea, o bien cuando la información haya sido ya presentada en su territorio de residencia fiscal por otra entidad no residente nombrada por el grupo como subrogada de la entidad matriz a efectos de dicha presentación. En el supuesto de que se trate de una entidad subrogada con residencia fiscal en un territorio fuera de la Unión Europea, deberá cumplir las condiciones previstas en el apartado 2 </w:t>
      </w:r>
      <w:r w:rsidRPr="00734317">
        <w:rPr>
          <w:rFonts w:ascii="Verdana" w:hAnsi="Verdana"/>
          <w:color w:val="333333"/>
          <w:sz w:val="19"/>
          <w:szCs w:val="19"/>
        </w:rPr>
        <w:lastRenderedPageBreak/>
        <w:t>de la sección II del anexo III de la Directiva 2011/16/UE del Consejo, de 15 de febrero de 2011, relativa a la cooperación administrativa en el ámbito de la fiscalidad y por la que se deroga la Directiva 77/799/CEE.</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En el caso de que, existiendo varias entidades dependientes residentes en territorio español, una de ellas hubiera sido designada o nombrada por el grupo multinacional para presentar la información, será únicamente ésta la obligada a dicha presentación.</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A efectos de lo dispuesto en este apartado, cualquier entidad residente en territorio español que forme parte de un grupo obligado a presentar la información aquí establecida deberá comunicar a la Administración tributaria la identificación y el país o territorio de residencia de la entidad obligada a elaborar esta información. Esta comunicación deberá realizarse antes de la finalización del período impositivo al que se refiera la información.</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Asimismo, en caso de que, dentro del supuesto previsto en el párrafo segundo del presente apartado, la entidad no residente se negara a suministrar todo o parte de la información correspondiente al grupo a la entidad residente en territorio español o al establecimiento permanente en territorio español, éstos presentarán la información de que dispongan y notificarán esta circunstancia a la Administración tributaria.</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El plazo para presentar la información prevista en este apartado concluirá transcurridos doce meses desde la finalización del período impositivo. El suministro de dicha información se efectuará en el modelo elaborado al efecto, que se aprobará por Orden del Ministro de Hacienda y Función Pública».</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Dos. Se modifica la letra e) del apartado 2 del artículo 14, que queda redactada de la siguiente forma:</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«e) Importe de la cifra de capital y otros resultados no distribuidos en la fecha de conclusión del período impositivo».</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 xml:space="preserve">Tres. </w:t>
      </w:r>
      <w:r w:rsidR="00540B3E">
        <w:rPr>
          <w:rFonts w:ascii="Verdana" w:hAnsi="Verdana"/>
          <w:color w:val="333333"/>
          <w:sz w:val="19"/>
          <w:szCs w:val="19"/>
        </w:rPr>
        <w:t>…</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 xml:space="preserve">Cuatro. </w:t>
      </w:r>
      <w:r w:rsidR="00540B3E">
        <w:rPr>
          <w:rFonts w:ascii="Verdana" w:hAnsi="Verdana"/>
          <w:color w:val="333333"/>
          <w:sz w:val="19"/>
          <w:szCs w:val="19"/>
        </w:rPr>
        <w:t>…</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 xml:space="preserve">Cinco. </w:t>
      </w:r>
      <w:r w:rsidR="00540B3E">
        <w:rPr>
          <w:rFonts w:ascii="Verdana" w:hAnsi="Verdana"/>
          <w:color w:val="333333"/>
          <w:sz w:val="19"/>
          <w:szCs w:val="19"/>
        </w:rPr>
        <w:t>…</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 xml:space="preserve">Seis. </w:t>
      </w:r>
      <w:r w:rsidR="00540B3E">
        <w:rPr>
          <w:rFonts w:ascii="Verdana" w:hAnsi="Verdana"/>
          <w:color w:val="333333"/>
          <w:sz w:val="19"/>
          <w:szCs w:val="19"/>
        </w:rPr>
        <w:t>…</w:t>
      </w:r>
    </w:p>
    <w:p w:rsidR="00540B3E" w:rsidRDefault="00540B3E" w:rsidP="00540B3E">
      <w:pPr>
        <w:widowControl/>
        <w:spacing w:line="240" w:lineRule="auto"/>
        <w:ind w:firstLine="0"/>
        <w:rPr>
          <w:rFonts w:ascii="Verdana" w:hAnsi="Verdana"/>
          <w:b/>
          <w:bCs/>
          <w:color w:val="333333"/>
          <w:sz w:val="19"/>
          <w:szCs w:val="19"/>
        </w:rPr>
      </w:pPr>
    </w:p>
    <w:p w:rsidR="00734317" w:rsidRPr="00734317" w:rsidRDefault="00734317" w:rsidP="00540B3E">
      <w:pPr>
        <w:widowControl/>
        <w:spacing w:line="240" w:lineRule="auto"/>
        <w:ind w:firstLine="0"/>
        <w:rPr>
          <w:rFonts w:ascii="Verdana" w:hAnsi="Verdana"/>
          <w:b/>
          <w:bCs/>
          <w:color w:val="333333"/>
          <w:sz w:val="19"/>
          <w:szCs w:val="19"/>
        </w:rPr>
      </w:pPr>
      <w:r w:rsidRPr="00734317">
        <w:rPr>
          <w:rFonts w:ascii="Verdana" w:hAnsi="Verdana"/>
          <w:b/>
          <w:bCs/>
          <w:color w:val="333333"/>
          <w:sz w:val="19"/>
          <w:szCs w:val="19"/>
        </w:rPr>
        <w:t>Artículo tercero. Modificación del Reglamento del Impuesto sobre Sucesiones y Donaciones, aprobado por el Real Decreto 1629/1991, de 8 de noviembre.</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Se introducen las siguientes modificaciones en el Reglamento del Impuesto sobre Sucesiones y Donaciones, aprobado por el Real Decreto 1629/1991, de 8 de noviembre:</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Uno. Se modifica el apartado 2 del artículo 66, que queda redactado de la siguiente forma:</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«2. El documento, que tendrá la consideración de declaración tributaria, deberá contener, además de los datos identificativos de transmitente y adquirente y de la designación de un domicilio para la práctica de las notificaciones que procedan, una relación detallada de los bienes y derechos adquiridos que integren el incremento de patrimonio gravado, con expresión del valor real que atribuyen a cada uno, así como de las cargas, deudas y gastos cuya deducción se solicite. Tratándose de bienes inmuebles, se consignará su referencia catastral».</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Dos. Se añade el artículo 87 bis con la siguiente redacción:</w:t>
      </w:r>
    </w:p>
    <w:p w:rsidR="00540B3E" w:rsidRDefault="00540B3E" w:rsidP="00540B3E">
      <w:pPr>
        <w:widowControl/>
        <w:spacing w:line="240" w:lineRule="auto"/>
        <w:ind w:left="960" w:firstLine="0"/>
        <w:rPr>
          <w:rFonts w:ascii="Verdana" w:hAnsi="Verdana"/>
          <w:b/>
          <w:bCs/>
          <w:color w:val="333333"/>
          <w:sz w:val="19"/>
          <w:szCs w:val="19"/>
        </w:rPr>
      </w:pPr>
    </w:p>
    <w:p w:rsidR="00734317" w:rsidRPr="00734317" w:rsidRDefault="00734317" w:rsidP="00540B3E">
      <w:pPr>
        <w:widowControl/>
        <w:spacing w:line="240" w:lineRule="auto"/>
        <w:ind w:left="960" w:firstLine="0"/>
        <w:rPr>
          <w:rFonts w:ascii="Verdana" w:hAnsi="Verdana"/>
          <w:b/>
          <w:bCs/>
          <w:color w:val="333333"/>
          <w:sz w:val="19"/>
          <w:szCs w:val="19"/>
        </w:rPr>
      </w:pPr>
      <w:r w:rsidRPr="00734317">
        <w:rPr>
          <w:rFonts w:ascii="Verdana" w:hAnsi="Verdana"/>
          <w:b/>
          <w:bCs/>
          <w:color w:val="333333"/>
          <w:sz w:val="19"/>
          <w:szCs w:val="19"/>
        </w:rPr>
        <w:t xml:space="preserve">«Artículo 87 bis. Regulación de los medios de acreditación de la presentación y pago, en su caso, del impuesto, ante la oficina gestora </w:t>
      </w:r>
      <w:r w:rsidRPr="00734317">
        <w:rPr>
          <w:rFonts w:ascii="Verdana" w:hAnsi="Verdana"/>
          <w:b/>
          <w:bCs/>
          <w:color w:val="333333"/>
          <w:sz w:val="19"/>
          <w:szCs w:val="19"/>
        </w:rPr>
        <w:lastRenderedPageBreak/>
        <w:t>competente, para los contribuyentes que deban tributar a la Administración Tributaria del Estado.</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A los efectos de lo dispuesto en la normativa reguladora de este impuesto, la presentación ante la oficina gestora competente de la autoliquidación junto con los documentos que contengan actos o contratos sujetos al Impuesto sobre Sucesiones y Donaciones, así como, en su caso, el pago de dicho impuesto, o la no sujeción o los beneficios fiscales aplicables, se podrán acreditar, además de por los medios previstos en la normativa reguladora del mismo, por cualquiera de los siguientes:</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a) Certificación expedida a tal efecto por la oficina gestora competente de la Agencia Estatal de Administración Tributaria que contenga todas las menciones y requisitos necesarios para identificar el documento notarial, judicial, administrativo o privado que contenga o en el que se relacione el acto o contrato que origine el impuesto, acompañada, en su caso, de la carta de pago o del correspondiente ejemplar de la autoliquidación.</w:t>
      </w:r>
    </w:p>
    <w:p w:rsidR="00734317" w:rsidRPr="00734317" w:rsidRDefault="00734317" w:rsidP="00540B3E">
      <w:pPr>
        <w:widowControl/>
        <w:spacing w:line="240" w:lineRule="auto"/>
        <w:ind w:left="960" w:firstLine="360"/>
        <w:rPr>
          <w:rFonts w:ascii="Verdana" w:hAnsi="Verdana"/>
          <w:color w:val="333333"/>
          <w:sz w:val="19"/>
          <w:szCs w:val="19"/>
        </w:rPr>
      </w:pPr>
      <w:r w:rsidRPr="00734317">
        <w:rPr>
          <w:rFonts w:ascii="Verdana" w:hAnsi="Verdana"/>
          <w:color w:val="333333"/>
          <w:sz w:val="19"/>
          <w:szCs w:val="19"/>
        </w:rPr>
        <w:t>b) Cualquier otro medio determinado reglamentariamente por el Ministro de Hacienda y Función Pública».</w:t>
      </w:r>
    </w:p>
    <w:p w:rsidR="00540B3E" w:rsidRDefault="00540B3E" w:rsidP="00540B3E">
      <w:pPr>
        <w:widowControl/>
        <w:spacing w:line="240" w:lineRule="auto"/>
        <w:ind w:firstLine="0"/>
        <w:rPr>
          <w:rFonts w:ascii="Verdana" w:hAnsi="Verdana"/>
          <w:b/>
          <w:bCs/>
          <w:color w:val="333333"/>
          <w:sz w:val="19"/>
          <w:szCs w:val="19"/>
        </w:rPr>
      </w:pPr>
    </w:p>
    <w:p w:rsidR="00734317" w:rsidRPr="00734317" w:rsidRDefault="00734317" w:rsidP="00540B3E">
      <w:pPr>
        <w:widowControl/>
        <w:spacing w:line="240" w:lineRule="auto"/>
        <w:ind w:firstLine="0"/>
        <w:rPr>
          <w:rFonts w:ascii="Verdana" w:hAnsi="Verdana"/>
          <w:b/>
          <w:bCs/>
          <w:color w:val="333333"/>
          <w:sz w:val="19"/>
          <w:szCs w:val="19"/>
        </w:rPr>
      </w:pPr>
      <w:r w:rsidRPr="00734317">
        <w:rPr>
          <w:rFonts w:ascii="Verdana" w:hAnsi="Verdana"/>
          <w:b/>
          <w:bCs/>
          <w:color w:val="333333"/>
          <w:sz w:val="19"/>
          <w:szCs w:val="19"/>
        </w:rPr>
        <w:t>Disposición final primera. Título competencial.</w:t>
      </w:r>
    </w:p>
    <w:p w:rsid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Este real decreto se aprueba al amparo de lo dispuesto en el artículo 149.1.14ª de la Constitución, que atribuye al Estado la competencia exclusiva en materia de Hacienda general.</w:t>
      </w:r>
    </w:p>
    <w:p w:rsidR="00540B3E" w:rsidRPr="00734317"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0"/>
        <w:rPr>
          <w:rFonts w:ascii="Verdana" w:hAnsi="Verdana"/>
          <w:b/>
          <w:bCs/>
          <w:color w:val="333333"/>
          <w:sz w:val="19"/>
          <w:szCs w:val="19"/>
        </w:rPr>
      </w:pPr>
      <w:r w:rsidRPr="00734317">
        <w:rPr>
          <w:rFonts w:ascii="Verdana" w:hAnsi="Verdana"/>
          <w:b/>
          <w:bCs/>
          <w:color w:val="333333"/>
          <w:sz w:val="19"/>
          <w:szCs w:val="19"/>
        </w:rPr>
        <w:t>Disposición final segunda. Entrada en vigor.</w:t>
      </w: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Este real decreto entrará en vigor el mismo día de su publicación en el «Boletín Oficial del Estado», y tendrá efectos desde ese momento, con las siguientes excepciones:</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1. Los apartados dos y cinco del artículo primero tendrán efectos desde 1 de enero de 2017.</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2. Los apartados uno, tres y siete del artículo primero tendrán efectos desde 1 de enero de 2018.</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3. Los apartados uno y dos del artículo segundo tendrán efectos para los períodos impositivos que se inicien a partir de 1 de enero de 2016.</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4. Los apartados tres, cuatro, cinco y seis del artículo segundo tendrán efectos para los períodos impositivos que se inicien a partir de 1 de enero de 2018.</w:t>
      </w:r>
    </w:p>
    <w:p w:rsidR="00540B3E" w:rsidRDefault="00540B3E" w:rsidP="00540B3E">
      <w:pPr>
        <w:widowControl/>
        <w:spacing w:line="240" w:lineRule="auto"/>
        <w:ind w:firstLine="360"/>
        <w:rPr>
          <w:rFonts w:ascii="Verdana" w:hAnsi="Verdana"/>
          <w:color w:val="333333"/>
          <w:sz w:val="19"/>
          <w:szCs w:val="19"/>
        </w:rPr>
      </w:pPr>
    </w:p>
    <w:p w:rsidR="00734317" w:rsidRPr="00734317" w:rsidRDefault="00734317" w:rsidP="00540B3E">
      <w:pPr>
        <w:widowControl/>
        <w:spacing w:line="240" w:lineRule="auto"/>
        <w:ind w:firstLine="360"/>
        <w:rPr>
          <w:rFonts w:ascii="Verdana" w:hAnsi="Verdana"/>
          <w:color w:val="333333"/>
          <w:sz w:val="19"/>
          <w:szCs w:val="19"/>
        </w:rPr>
      </w:pPr>
      <w:r w:rsidRPr="00734317">
        <w:rPr>
          <w:rFonts w:ascii="Verdana" w:hAnsi="Verdana"/>
          <w:color w:val="333333"/>
          <w:sz w:val="19"/>
          <w:szCs w:val="19"/>
        </w:rPr>
        <w:t>Dado en Madrid, el 29 de diciembre de 2017.</w:t>
      </w:r>
    </w:p>
    <w:p w:rsidR="00734317" w:rsidRPr="00734317" w:rsidRDefault="00734317" w:rsidP="00540B3E">
      <w:pPr>
        <w:widowControl/>
        <w:spacing w:line="240" w:lineRule="auto"/>
        <w:ind w:firstLine="0"/>
        <w:jc w:val="right"/>
        <w:rPr>
          <w:rFonts w:ascii="Verdana" w:hAnsi="Verdana"/>
          <w:color w:val="333333"/>
          <w:sz w:val="19"/>
          <w:szCs w:val="19"/>
        </w:rPr>
      </w:pPr>
      <w:r w:rsidRPr="00734317">
        <w:rPr>
          <w:rFonts w:ascii="Verdana" w:hAnsi="Verdana"/>
          <w:color w:val="333333"/>
          <w:sz w:val="19"/>
          <w:szCs w:val="19"/>
        </w:rPr>
        <w:t>FELIPE R.</w:t>
      </w:r>
    </w:p>
    <w:p w:rsidR="00734317" w:rsidRPr="00734317" w:rsidRDefault="00734317" w:rsidP="00540B3E">
      <w:pPr>
        <w:widowControl/>
        <w:spacing w:line="240" w:lineRule="auto"/>
        <w:ind w:firstLine="0"/>
        <w:jc w:val="center"/>
        <w:rPr>
          <w:rFonts w:ascii="Verdana" w:hAnsi="Verdana"/>
          <w:color w:val="333333"/>
          <w:sz w:val="19"/>
          <w:szCs w:val="19"/>
        </w:rPr>
      </w:pPr>
      <w:r w:rsidRPr="00734317">
        <w:rPr>
          <w:rFonts w:ascii="Verdana" w:hAnsi="Verdana"/>
          <w:color w:val="333333"/>
          <w:sz w:val="19"/>
          <w:szCs w:val="19"/>
        </w:rPr>
        <w:t>El Ministro de Hacienda y Función Pública,</w:t>
      </w:r>
    </w:p>
    <w:p w:rsidR="00734317" w:rsidRPr="00734317" w:rsidRDefault="00734317" w:rsidP="00540B3E">
      <w:pPr>
        <w:widowControl/>
        <w:spacing w:line="240" w:lineRule="auto"/>
        <w:ind w:firstLine="0"/>
        <w:jc w:val="center"/>
        <w:rPr>
          <w:rFonts w:ascii="Verdana" w:hAnsi="Verdana"/>
          <w:color w:val="333333"/>
          <w:sz w:val="19"/>
          <w:szCs w:val="19"/>
        </w:rPr>
      </w:pPr>
      <w:r w:rsidRPr="00734317">
        <w:rPr>
          <w:rFonts w:ascii="Verdana" w:hAnsi="Verdana"/>
          <w:color w:val="333333"/>
          <w:sz w:val="19"/>
          <w:szCs w:val="19"/>
        </w:rPr>
        <w:t>CRISTÓBAL MONTORO ROMERO</w:t>
      </w:r>
    </w:p>
    <w:p w:rsidR="00B563B5" w:rsidRDefault="00B563B5" w:rsidP="00540B3E">
      <w:pPr>
        <w:spacing w:line="240" w:lineRule="auto"/>
      </w:pPr>
    </w:p>
    <w:sectPr w:rsidR="00B563B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B04" w:rsidRDefault="00EE5B04" w:rsidP="00734317">
      <w:pPr>
        <w:spacing w:line="240" w:lineRule="auto"/>
      </w:pPr>
      <w:r>
        <w:separator/>
      </w:r>
    </w:p>
  </w:endnote>
  <w:endnote w:type="continuationSeparator" w:id="0">
    <w:p w:rsidR="00EE5B04" w:rsidRDefault="00EE5B04" w:rsidP="007343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B04" w:rsidRDefault="00EE5B04" w:rsidP="00734317">
      <w:pPr>
        <w:spacing w:line="240" w:lineRule="auto"/>
      </w:pPr>
      <w:r>
        <w:separator/>
      </w:r>
    </w:p>
  </w:footnote>
  <w:footnote w:type="continuationSeparator" w:id="0">
    <w:p w:rsidR="00EE5B04" w:rsidRDefault="00EE5B04" w:rsidP="007343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1EF"/>
    <w:rsid w:val="0015055A"/>
    <w:rsid w:val="003E3BFB"/>
    <w:rsid w:val="004A3C84"/>
    <w:rsid w:val="0051123D"/>
    <w:rsid w:val="00540B3E"/>
    <w:rsid w:val="006348C8"/>
    <w:rsid w:val="006761EF"/>
    <w:rsid w:val="00734317"/>
    <w:rsid w:val="008A149F"/>
    <w:rsid w:val="009061D1"/>
    <w:rsid w:val="00B563B5"/>
    <w:rsid w:val="00C03FEF"/>
    <w:rsid w:val="00CA6296"/>
    <w:rsid w:val="00EE5B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1EF"/>
    <w:pPr>
      <w:widowControl w:val="0"/>
      <w:spacing w:after="0" w:line="220" w:lineRule="exact"/>
      <w:ind w:firstLine="311"/>
      <w:jc w:val="both"/>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76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3431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34317"/>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73431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34317"/>
    <w:rPr>
      <w:rFonts w:ascii="Times New Roman" w:eastAsia="Times New Roman" w:hAnsi="Times New Roman" w:cs="Times New Roman"/>
      <w:sz w:val="20"/>
      <w:szCs w:val="20"/>
      <w:lang w:eastAsia="es-ES"/>
    </w:rPr>
  </w:style>
  <w:style w:type="paragraph" w:customStyle="1" w:styleId="articulo1">
    <w:name w:val="articulo1"/>
    <w:basedOn w:val="Normal"/>
    <w:rsid w:val="00734317"/>
    <w:pPr>
      <w:widowControl/>
      <w:spacing w:before="360" w:after="180" w:line="240" w:lineRule="auto"/>
      <w:ind w:firstLine="0"/>
    </w:pPr>
    <w:rPr>
      <w:b/>
      <w:bCs/>
      <w:sz w:val="24"/>
      <w:szCs w:val="24"/>
    </w:rPr>
  </w:style>
  <w:style w:type="paragraph" w:customStyle="1" w:styleId="parrafo1">
    <w:name w:val="parrafo1"/>
    <w:basedOn w:val="Normal"/>
    <w:rsid w:val="00734317"/>
    <w:pPr>
      <w:widowControl/>
      <w:spacing w:before="180" w:after="180" w:line="240" w:lineRule="auto"/>
      <w:ind w:firstLine="360"/>
    </w:pPr>
    <w:rPr>
      <w:sz w:val="24"/>
      <w:szCs w:val="24"/>
    </w:rPr>
  </w:style>
  <w:style w:type="paragraph" w:customStyle="1" w:styleId="parrafo21">
    <w:name w:val="parrafo_21"/>
    <w:basedOn w:val="Normal"/>
    <w:rsid w:val="00734317"/>
    <w:pPr>
      <w:widowControl/>
      <w:spacing w:before="360" w:after="180" w:line="240" w:lineRule="auto"/>
      <w:ind w:firstLine="360"/>
    </w:pPr>
    <w:rPr>
      <w:sz w:val="24"/>
      <w:szCs w:val="24"/>
    </w:rPr>
  </w:style>
  <w:style w:type="paragraph" w:customStyle="1" w:styleId="centroredonda1">
    <w:name w:val="centro_redonda1"/>
    <w:basedOn w:val="Normal"/>
    <w:rsid w:val="00734317"/>
    <w:pPr>
      <w:widowControl/>
      <w:spacing w:before="300" w:after="240" w:line="240" w:lineRule="auto"/>
      <w:ind w:firstLine="0"/>
      <w:jc w:val="center"/>
    </w:pPr>
    <w:rPr>
      <w:sz w:val="24"/>
      <w:szCs w:val="24"/>
    </w:rPr>
  </w:style>
  <w:style w:type="paragraph" w:customStyle="1" w:styleId="sangrado1">
    <w:name w:val="sangrado1"/>
    <w:basedOn w:val="Normal"/>
    <w:rsid w:val="00734317"/>
    <w:pPr>
      <w:widowControl/>
      <w:spacing w:before="180" w:after="180" w:line="240" w:lineRule="auto"/>
      <w:ind w:left="960" w:firstLine="360"/>
    </w:pPr>
    <w:rPr>
      <w:sz w:val="24"/>
      <w:szCs w:val="24"/>
    </w:rPr>
  </w:style>
  <w:style w:type="paragraph" w:customStyle="1" w:styleId="sangrado21">
    <w:name w:val="sangrado_21"/>
    <w:basedOn w:val="Normal"/>
    <w:rsid w:val="00734317"/>
    <w:pPr>
      <w:widowControl/>
      <w:spacing w:before="360" w:after="180" w:line="240" w:lineRule="auto"/>
      <w:ind w:left="960" w:firstLine="360"/>
    </w:pPr>
    <w:rPr>
      <w:sz w:val="24"/>
      <w:szCs w:val="24"/>
    </w:rPr>
  </w:style>
  <w:style w:type="paragraph" w:customStyle="1" w:styleId="sangradoarticulo1">
    <w:name w:val="sangrado_articulo1"/>
    <w:basedOn w:val="Normal"/>
    <w:rsid w:val="00734317"/>
    <w:pPr>
      <w:widowControl/>
      <w:spacing w:before="360" w:after="180" w:line="240" w:lineRule="auto"/>
      <w:ind w:left="960" w:firstLine="0"/>
    </w:pPr>
    <w:rPr>
      <w:b/>
      <w:bCs/>
      <w:sz w:val="24"/>
      <w:szCs w:val="24"/>
    </w:rPr>
  </w:style>
  <w:style w:type="paragraph" w:customStyle="1" w:styleId="firmaministro1">
    <w:name w:val="firma_ministro1"/>
    <w:basedOn w:val="Normal"/>
    <w:rsid w:val="00734317"/>
    <w:pPr>
      <w:widowControl/>
      <w:spacing w:line="240" w:lineRule="auto"/>
      <w:ind w:firstLine="0"/>
      <w:jc w:val="center"/>
    </w:pPr>
    <w:rPr>
      <w:sz w:val="24"/>
      <w:szCs w:val="24"/>
    </w:rPr>
  </w:style>
  <w:style w:type="paragraph" w:customStyle="1" w:styleId="firmarey1">
    <w:name w:val="firma_rey1"/>
    <w:basedOn w:val="Normal"/>
    <w:rsid w:val="00734317"/>
    <w:pPr>
      <w:widowControl/>
      <w:spacing w:before="360" w:after="480" w:line="240" w:lineRule="auto"/>
      <w:ind w:firstLine="0"/>
      <w:jc w:val="right"/>
    </w:pPr>
    <w:rPr>
      <w:sz w:val="24"/>
      <w:szCs w:val="24"/>
    </w:rPr>
  </w:style>
  <w:style w:type="character" w:styleId="Textoennegrita">
    <w:name w:val="Strong"/>
    <w:basedOn w:val="Fuentedeprrafopredeter"/>
    <w:uiPriority w:val="22"/>
    <w:qFormat/>
    <w:rsid w:val="007343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1EF"/>
    <w:pPr>
      <w:widowControl w:val="0"/>
      <w:spacing w:after="0" w:line="220" w:lineRule="exact"/>
      <w:ind w:firstLine="311"/>
      <w:jc w:val="both"/>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76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34317"/>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34317"/>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73431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34317"/>
    <w:rPr>
      <w:rFonts w:ascii="Times New Roman" w:eastAsia="Times New Roman" w:hAnsi="Times New Roman" w:cs="Times New Roman"/>
      <w:sz w:val="20"/>
      <w:szCs w:val="20"/>
      <w:lang w:eastAsia="es-ES"/>
    </w:rPr>
  </w:style>
  <w:style w:type="paragraph" w:customStyle="1" w:styleId="articulo1">
    <w:name w:val="articulo1"/>
    <w:basedOn w:val="Normal"/>
    <w:rsid w:val="00734317"/>
    <w:pPr>
      <w:widowControl/>
      <w:spacing w:before="360" w:after="180" w:line="240" w:lineRule="auto"/>
      <w:ind w:firstLine="0"/>
    </w:pPr>
    <w:rPr>
      <w:b/>
      <w:bCs/>
      <w:sz w:val="24"/>
      <w:szCs w:val="24"/>
    </w:rPr>
  </w:style>
  <w:style w:type="paragraph" w:customStyle="1" w:styleId="parrafo1">
    <w:name w:val="parrafo1"/>
    <w:basedOn w:val="Normal"/>
    <w:rsid w:val="00734317"/>
    <w:pPr>
      <w:widowControl/>
      <w:spacing w:before="180" w:after="180" w:line="240" w:lineRule="auto"/>
      <w:ind w:firstLine="360"/>
    </w:pPr>
    <w:rPr>
      <w:sz w:val="24"/>
      <w:szCs w:val="24"/>
    </w:rPr>
  </w:style>
  <w:style w:type="paragraph" w:customStyle="1" w:styleId="parrafo21">
    <w:name w:val="parrafo_21"/>
    <w:basedOn w:val="Normal"/>
    <w:rsid w:val="00734317"/>
    <w:pPr>
      <w:widowControl/>
      <w:spacing w:before="360" w:after="180" w:line="240" w:lineRule="auto"/>
      <w:ind w:firstLine="360"/>
    </w:pPr>
    <w:rPr>
      <w:sz w:val="24"/>
      <w:szCs w:val="24"/>
    </w:rPr>
  </w:style>
  <w:style w:type="paragraph" w:customStyle="1" w:styleId="centroredonda1">
    <w:name w:val="centro_redonda1"/>
    <w:basedOn w:val="Normal"/>
    <w:rsid w:val="00734317"/>
    <w:pPr>
      <w:widowControl/>
      <w:spacing w:before="300" w:after="240" w:line="240" w:lineRule="auto"/>
      <w:ind w:firstLine="0"/>
      <w:jc w:val="center"/>
    </w:pPr>
    <w:rPr>
      <w:sz w:val="24"/>
      <w:szCs w:val="24"/>
    </w:rPr>
  </w:style>
  <w:style w:type="paragraph" w:customStyle="1" w:styleId="sangrado1">
    <w:name w:val="sangrado1"/>
    <w:basedOn w:val="Normal"/>
    <w:rsid w:val="00734317"/>
    <w:pPr>
      <w:widowControl/>
      <w:spacing w:before="180" w:after="180" w:line="240" w:lineRule="auto"/>
      <w:ind w:left="960" w:firstLine="360"/>
    </w:pPr>
    <w:rPr>
      <w:sz w:val="24"/>
      <w:szCs w:val="24"/>
    </w:rPr>
  </w:style>
  <w:style w:type="paragraph" w:customStyle="1" w:styleId="sangrado21">
    <w:name w:val="sangrado_21"/>
    <w:basedOn w:val="Normal"/>
    <w:rsid w:val="00734317"/>
    <w:pPr>
      <w:widowControl/>
      <w:spacing w:before="360" w:after="180" w:line="240" w:lineRule="auto"/>
      <w:ind w:left="960" w:firstLine="360"/>
    </w:pPr>
    <w:rPr>
      <w:sz w:val="24"/>
      <w:szCs w:val="24"/>
    </w:rPr>
  </w:style>
  <w:style w:type="paragraph" w:customStyle="1" w:styleId="sangradoarticulo1">
    <w:name w:val="sangrado_articulo1"/>
    <w:basedOn w:val="Normal"/>
    <w:rsid w:val="00734317"/>
    <w:pPr>
      <w:widowControl/>
      <w:spacing w:before="360" w:after="180" w:line="240" w:lineRule="auto"/>
      <w:ind w:left="960" w:firstLine="0"/>
    </w:pPr>
    <w:rPr>
      <w:b/>
      <w:bCs/>
      <w:sz w:val="24"/>
      <w:szCs w:val="24"/>
    </w:rPr>
  </w:style>
  <w:style w:type="paragraph" w:customStyle="1" w:styleId="firmaministro1">
    <w:name w:val="firma_ministro1"/>
    <w:basedOn w:val="Normal"/>
    <w:rsid w:val="00734317"/>
    <w:pPr>
      <w:widowControl/>
      <w:spacing w:line="240" w:lineRule="auto"/>
      <w:ind w:firstLine="0"/>
      <w:jc w:val="center"/>
    </w:pPr>
    <w:rPr>
      <w:sz w:val="24"/>
      <w:szCs w:val="24"/>
    </w:rPr>
  </w:style>
  <w:style w:type="paragraph" w:customStyle="1" w:styleId="firmarey1">
    <w:name w:val="firma_rey1"/>
    <w:basedOn w:val="Normal"/>
    <w:rsid w:val="00734317"/>
    <w:pPr>
      <w:widowControl/>
      <w:spacing w:before="360" w:after="480" w:line="240" w:lineRule="auto"/>
      <w:ind w:firstLine="0"/>
      <w:jc w:val="right"/>
    </w:pPr>
    <w:rPr>
      <w:sz w:val="24"/>
      <w:szCs w:val="24"/>
    </w:rPr>
  </w:style>
  <w:style w:type="character" w:styleId="Textoennegrita">
    <w:name w:val="Strong"/>
    <w:basedOn w:val="Fuentedeprrafopredeter"/>
    <w:uiPriority w:val="22"/>
    <w:qFormat/>
    <w:rsid w:val="00734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966456">
      <w:bodyDiv w:val="1"/>
      <w:marLeft w:val="0"/>
      <w:marRight w:val="0"/>
      <w:marTop w:val="0"/>
      <w:marBottom w:val="0"/>
      <w:divBdr>
        <w:top w:val="none" w:sz="0" w:space="0" w:color="auto"/>
        <w:left w:val="none" w:sz="0" w:space="0" w:color="auto"/>
        <w:bottom w:val="none" w:sz="0" w:space="0" w:color="auto"/>
        <w:right w:val="none" w:sz="0" w:space="0" w:color="auto"/>
      </w:divBdr>
      <w:divsChild>
        <w:div w:id="1331715248">
          <w:marLeft w:val="0"/>
          <w:marRight w:val="0"/>
          <w:marTop w:val="720"/>
          <w:marBottom w:val="720"/>
          <w:divBdr>
            <w:top w:val="none" w:sz="0" w:space="0" w:color="auto"/>
            <w:left w:val="none" w:sz="0" w:space="0" w:color="auto"/>
            <w:bottom w:val="none" w:sz="0" w:space="0" w:color="auto"/>
            <w:right w:val="none" w:sz="0" w:space="0" w:color="auto"/>
          </w:divBdr>
          <w:divsChild>
            <w:div w:id="2130078739">
              <w:marLeft w:val="0"/>
              <w:marRight w:val="0"/>
              <w:marTop w:val="0"/>
              <w:marBottom w:val="0"/>
              <w:divBdr>
                <w:top w:val="none" w:sz="0" w:space="0" w:color="auto"/>
                <w:left w:val="none" w:sz="0" w:space="0" w:color="auto"/>
                <w:bottom w:val="none" w:sz="0" w:space="0" w:color="auto"/>
                <w:right w:val="none" w:sz="0" w:space="0" w:color="auto"/>
              </w:divBdr>
              <w:divsChild>
                <w:div w:id="1057901350">
                  <w:marLeft w:val="0"/>
                  <w:marRight w:val="0"/>
                  <w:marTop w:val="0"/>
                  <w:marBottom w:val="0"/>
                  <w:divBdr>
                    <w:top w:val="none" w:sz="0" w:space="0" w:color="auto"/>
                    <w:left w:val="none" w:sz="0" w:space="0" w:color="auto"/>
                    <w:bottom w:val="none" w:sz="0" w:space="0" w:color="auto"/>
                    <w:right w:val="none" w:sz="0" w:space="0" w:color="auto"/>
                  </w:divBdr>
                  <w:divsChild>
                    <w:div w:id="1994790815">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2390</Words>
  <Characters>13148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fdomin</dc:creator>
  <cp:lastModifiedBy>fdomin</cp:lastModifiedBy>
  <cp:revision>4</cp:revision>
  <dcterms:created xsi:type="dcterms:W3CDTF">2018-01-02T17:59:00Z</dcterms:created>
  <dcterms:modified xsi:type="dcterms:W3CDTF">2018-01-02T18:01:00Z</dcterms:modified>
</cp:coreProperties>
</file>